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2" w:rsidRPr="00CA1CD9" w:rsidRDefault="00AF4EB0" w:rsidP="00CA1CD9">
      <w:pPr>
        <w:spacing w:after="0" w:line="360" w:lineRule="auto"/>
        <w:jc w:val="center"/>
        <w:rPr>
          <w:b/>
          <w:bCs/>
        </w:rPr>
      </w:pPr>
      <w:proofErr w:type="spellStart"/>
      <w:r w:rsidRPr="00CA1CD9">
        <w:rPr>
          <w:b/>
          <w:bCs/>
        </w:rPr>
        <w:t>Colorimetry</w:t>
      </w:r>
      <w:proofErr w:type="spellEnd"/>
      <w:r w:rsidRPr="00CA1CD9">
        <w:rPr>
          <w:b/>
          <w:bCs/>
        </w:rPr>
        <w:t xml:space="preserve"> and Spectrophotometry</w:t>
      </w:r>
    </w:p>
    <w:p w:rsidR="00AF4EB0" w:rsidRDefault="00AF4EB0" w:rsidP="00AF4EB0">
      <w:pPr>
        <w:spacing w:after="0" w:line="360" w:lineRule="auto"/>
      </w:pPr>
    </w:p>
    <w:p w:rsidR="00AF4EB0" w:rsidRPr="00CA1CD9" w:rsidRDefault="00AF4EB0" w:rsidP="00AF4EB0">
      <w:pPr>
        <w:spacing w:after="0" w:line="360" w:lineRule="auto"/>
        <w:rPr>
          <w:b/>
          <w:bCs/>
        </w:rPr>
      </w:pPr>
      <w:r w:rsidRPr="00CA1CD9">
        <w:rPr>
          <w:b/>
          <w:bCs/>
        </w:rPr>
        <w:t>Basic Principles</w:t>
      </w:r>
    </w:p>
    <w:p w:rsidR="00AF4EB0" w:rsidRPr="00202AC8" w:rsidRDefault="00AF4EB0" w:rsidP="00CA1CD9">
      <w:pPr>
        <w:spacing w:after="0" w:line="360" w:lineRule="auto"/>
        <w:ind w:left="360"/>
        <w:rPr>
          <w:i/>
          <w:iCs/>
        </w:rPr>
      </w:pPr>
      <w:r w:rsidRPr="00202AC8">
        <w:rPr>
          <w:i/>
          <w:iCs/>
        </w:rPr>
        <w:t xml:space="preserve">Selective light </w:t>
      </w:r>
      <w:r w:rsidR="00F57722">
        <w:rPr>
          <w:i/>
          <w:iCs/>
        </w:rPr>
        <w:t>absorption</w:t>
      </w:r>
      <w:r w:rsidRPr="00202AC8">
        <w:rPr>
          <w:i/>
          <w:iCs/>
        </w:rPr>
        <w:t xml:space="preserve"> and color</w:t>
      </w:r>
      <w:r w:rsidR="00CA1CD9" w:rsidRPr="00202AC8">
        <w:rPr>
          <w:i/>
          <w:iCs/>
        </w:rPr>
        <w:t xml:space="preserve"> (Table 1)</w:t>
      </w:r>
    </w:p>
    <w:p w:rsidR="00AF4EB0" w:rsidRPr="00202AC8" w:rsidRDefault="00AF4EB0" w:rsidP="00CA1CD9">
      <w:pPr>
        <w:spacing w:after="0" w:line="360" w:lineRule="auto"/>
        <w:ind w:left="360"/>
        <w:rPr>
          <w:i/>
          <w:iCs/>
        </w:rPr>
      </w:pPr>
      <w:r w:rsidRPr="00202AC8">
        <w:rPr>
          <w:i/>
          <w:iCs/>
        </w:rPr>
        <w:t>Beer’s law</w:t>
      </w:r>
    </w:p>
    <w:p w:rsidR="00755A3A" w:rsidRPr="007963E1" w:rsidRDefault="00A2298E" w:rsidP="00755A3A">
      <w:pPr>
        <w:spacing w:before="240" w:after="0" w:line="240" w:lineRule="auto"/>
        <w:outlineLvl w:val="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alC</m:t>
              </m:r>
            </m:sup>
          </m:sSup>
        </m:oMath>
      </m:oMathPara>
    </w:p>
    <w:p w:rsidR="00755A3A" w:rsidRDefault="00F57722" w:rsidP="00CA1CD9">
      <w:pPr>
        <w:spacing w:after="0" w:line="360" w:lineRule="auto"/>
        <w:ind w:left="360"/>
      </w:pPr>
      <w:r>
        <w:t xml:space="preserve">Where </w:t>
      </w:r>
      <w:r w:rsidRPr="00F57722">
        <w:rPr>
          <w:rFonts w:ascii="Times New Roman" w:hAnsi="Times New Roman" w:cs="Times New Roman"/>
          <w:i/>
        </w:rPr>
        <w:t>I</w:t>
      </w:r>
      <w:r>
        <w:t xml:space="preserve"> is the intensity of incident light, </w:t>
      </w:r>
      <w:r w:rsidRPr="00F57722">
        <w:rPr>
          <w:rFonts w:ascii="Times New Roman" w:hAnsi="Times New Roman" w:cs="Times New Roman"/>
          <w:i/>
        </w:rPr>
        <w:t>I</w:t>
      </w:r>
      <w:r>
        <w:t xml:space="preserve">° is the intensity of the light transmitted through the solution, C is the concentration of the </w:t>
      </w:r>
      <w:proofErr w:type="spellStart"/>
      <w:r>
        <w:t>analyte</w:t>
      </w:r>
      <w:proofErr w:type="spellEnd"/>
      <w:r>
        <w:t xml:space="preserve">, and </w:t>
      </w:r>
      <w:r w:rsidR="00456D1A">
        <w:t>“</w:t>
      </w:r>
      <w:r w:rsidR="00456D1A" w:rsidRPr="00456D1A">
        <w:rPr>
          <w:i/>
        </w:rPr>
        <w:t>a</w:t>
      </w:r>
      <w:r w:rsidR="00456D1A">
        <w:rPr>
          <w:i/>
        </w:rPr>
        <w:t>”</w:t>
      </w:r>
      <w:r>
        <w:t xml:space="preserve"> is a constant</w:t>
      </w:r>
      <w:r w:rsidR="00197E50">
        <w:t xml:space="preserve"> (</w:t>
      </w:r>
      <w:proofErr w:type="spellStart"/>
      <w:r w:rsidR="00197E50">
        <w:t>absorptivity</w:t>
      </w:r>
      <w:proofErr w:type="spellEnd"/>
      <w:r w:rsidR="00197E50">
        <w:t>)</w:t>
      </w:r>
      <w:r>
        <w:t>.</w:t>
      </w:r>
    </w:p>
    <w:p w:rsidR="00F57722" w:rsidRDefault="00F57722" w:rsidP="00CA1CD9">
      <w:pPr>
        <w:spacing w:after="0" w:line="360" w:lineRule="auto"/>
        <w:ind w:left="360"/>
      </w:pPr>
    </w:p>
    <w:p w:rsidR="00AF4EB0" w:rsidRPr="00202AC8" w:rsidRDefault="00755A3A" w:rsidP="00755A3A">
      <w:pPr>
        <w:spacing w:after="0" w:line="360" w:lineRule="auto"/>
        <w:ind w:left="360"/>
        <w:rPr>
          <w:i/>
          <w:iCs/>
        </w:rPr>
      </w:pPr>
      <w:r w:rsidRPr="00202AC8">
        <w:rPr>
          <w:i/>
          <w:iCs/>
        </w:rPr>
        <w:t xml:space="preserve">Absorption, </w:t>
      </w:r>
      <w:r w:rsidR="00AF4EB0" w:rsidRPr="00202AC8">
        <w:rPr>
          <w:i/>
          <w:iCs/>
        </w:rPr>
        <w:t>Absorbance</w:t>
      </w:r>
      <w:r w:rsidRPr="00202AC8">
        <w:rPr>
          <w:i/>
          <w:iCs/>
        </w:rPr>
        <w:t xml:space="preserve">, and </w:t>
      </w:r>
      <w:r w:rsidR="00AF4EB0" w:rsidRPr="00202AC8">
        <w:rPr>
          <w:i/>
          <w:iCs/>
        </w:rPr>
        <w:t>Transmittance</w:t>
      </w:r>
    </w:p>
    <w:p w:rsidR="00755A3A" w:rsidRDefault="00755A3A" w:rsidP="00755A3A">
      <w:pPr>
        <w:spacing w:after="0"/>
        <w:ind w:left="360"/>
      </w:pPr>
      <w:r>
        <w:t>Absorption</w:t>
      </w:r>
      <w:r w:rsidR="00197E50">
        <w:t xml:space="preserve"> ‘A”</w:t>
      </w:r>
      <w:r>
        <w:t xml:space="preserve"> is defined as </w:t>
      </w:r>
      <w:r w:rsidRPr="00F57722">
        <w:rPr>
          <w:rFonts w:ascii="Times New Roman" w:hAnsi="Times New Roman" w:cs="Times New Roman"/>
          <w:i/>
        </w:rPr>
        <w:t>I/I</w:t>
      </w:r>
      <w:r w:rsidRPr="00F57722">
        <w:rPr>
          <w:i/>
        </w:rPr>
        <w:t>°</w:t>
      </w:r>
      <w:r>
        <w:t>. Absorbance is defined as the logarithm of absorption. Transmittance is defined as -10</w:t>
      </w:r>
      <w:r w:rsidRPr="00315F62">
        <w:rPr>
          <w:vertAlign w:val="superscript"/>
        </w:rPr>
        <w:t>A</w:t>
      </w:r>
      <w:r>
        <w:t>. Therefore, absorbance and transmittance are related to one another through the equation:</w:t>
      </w:r>
    </w:p>
    <w:p w:rsidR="00755A3A" w:rsidRDefault="00755A3A" w:rsidP="00755A3A">
      <w:pPr>
        <w:spacing w:after="0"/>
        <w:ind w:left="360"/>
      </w:pPr>
    </w:p>
    <w:p w:rsidR="00755A3A" w:rsidRDefault="00755A3A" w:rsidP="00202AC8">
      <w:pPr>
        <w:spacing w:after="0"/>
        <w:ind w:left="360"/>
      </w:pPr>
      <w:r>
        <w:t>A = - log</w:t>
      </w:r>
      <w:r w:rsidR="00D536FB" w:rsidRPr="00D536FB">
        <w:rPr>
          <w:position w:val="-6"/>
          <w:vertAlign w:val="subscript"/>
        </w:rPr>
        <w:t>10</w:t>
      </w:r>
      <w:r>
        <w:t xml:space="preserve"> T = a</w:t>
      </w:r>
      <w:r w:rsidR="00456D1A">
        <w:t xml:space="preserve"> </w:t>
      </w:r>
      <w:r w:rsidR="00456D1A" w:rsidRPr="00456D1A">
        <w:rPr>
          <w:rFonts w:ascii="Brush Script Std" w:hAnsi="Brush Script Std"/>
          <w:i/>
        </w:rPr>
        <w:t>l</w:t>
      </w:r>
      <w:r w:rsidR="00456D1A">
        <w:rPr>
          <w:rFonts w:ascii="Brush Script Std" w:hAnsi="Brush Script Std"/>
          <w:i/>
        </w:rPr>
        <w:t xml:space="preserve"> </w:t>
      </w:r>
      <w:r>
        <w:t>C</w:t>
      </w:r>
    </w:p>
    <w:p w:rsidR="00755A3A" w:rsidRDefault="00755A3A" w:rsidP="00755A3A">
      <w:pPr>
        <w:spacing w:after="0"/>
        <w:ind w:left="360"/>
      </w:pPr>
    </w:p>
    <w:p w:rsidR="00755A3A" w:rsidRDefault="00755A3A" w:rsidP="00202AC8">
      <w:pPr>
        <w:spacing w:after="0"/>
        <w:ind w:left="360"/>
      </w:pPr>
      <w:r>
        <w:t xml:space="preserve">Where </w:t>
      </w:r>
      <w:r w:rsidR="00202AC8">
        <w:t>“</w:t>
      </w:r>
      <w:r>
        <w:t>T</w:t>
      </w:r>
      <w:r w:rsidR="00202AC8">
        <w:t>”</w:t>
      </w:r>
      <w:r>
        <w:t xml:space="preserve"> is the transmittance, </w:t>
      </w:r>
      <w:r w:rsidR="00202AC8">
        <w:t>“</w:t>
      </w:r>
      <w:r>
        <w:t>a</w:t>
      </w:r>
      <w:r w:rsidR="00202AC8">
        <w:t>”</w:t>
      </w:r>
      <w:r>
        <w:t xml:space="preserve"> is the </w:t>
      </w:r>
      <w:proofErr w:type="spellStart"/>
      <w:r>
        <w:t>absorptivity</w:t>
      </w:r>
      <w:proofErr w:type="spellEnd"/>
      <w:r>
        <w:t xml:space="preserve"> (a constant),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>
        <w:t xml:space="preserve"> is the path length (or distance through which the light passes through the sample), and C is the concentration</w:t>
      </w:r>
      <w:r w:rsidR="003D07FD">
        <w:t>.</w:t>
      </w:r>
    </w:p>
    <w:p w:rsidR="00755A3A" w:rsidRDefault="00755A3A" w:rsidP="00755A3A">
      <w:pPr>
        <w:spacing w:after="0" w:line="360" w:lineRule="auto"/>
        <w:ind w:left="360"/>
      </w:pPr>
    </w:p>
    <w:p w:rsidR="00B93757" w:rsidRDefault="00B93757" w:rsidP="00755A3A">
      <w:pPr>
        <w:spacing w:after="0" w:line="360" w:lineRule="auto"/>
        <w:ind w:left="360"/>
        <w:rPr>
          <w:i/>
          <w:iCs/>
        </w:rPr>
      </w:pPr>
      <w:proofErr w:type="spellStart"/>
      <w:r>
        <w:rPr>
          <w:i/>
          <w:iCs/>
        </w:rPr>
        <w:t>Colorimetry</w:t>
      </w:r>
      <w:proofErr w:type="spellEnd"/>
      <w:r>
        <w:rPr>
          <w:i/>
          <w:iCs/>
        </w:rPr>
        <w:t xml:space="preserve"> vs. Spectrophotometry</w:t>
      </w:r>
    </w:p>
    <w:p w:rsidR="00B93757" w:rsidRPr="004445EF" w:rsidRDefault="004445EF" w:rsidP="00755A3A">
      <w:pPr>
        <w:spacing w:after="0" w:line="360" w:lineRule="auto"/>
        <w:ind w:left="360"/>
      </w:pPr>
      <w:proofErr w:type="spellStart"/>
      <w:r>
        <w:t>Colorimetry</w:t>
      </w:r>
      <w:proofErr w:type="spellEnd"/>
      <w:r>
        <w:t xml:space="preserve"> involves measurements made in the visible portion of the electromagnetic spectrum, whereas spectrophotometry includes measurements in the UV and near IR portions as well.</w:t>
      </w:r>
    </w:p>
    <w:p w:rsidR="004445EF" w:rsidRDefault="004445EF" w:rsidP="00755A3A">
      <w:pPr>
        <w:spacing w:after="0" w:line="360" w:lineRule="auto"/>
        <w:ind w:left="360"/>
        <w:rPr>
          <w:i/>
          <w:iCs/>
        </w:rPr>
      </w:pPr>
    </w:p>
    <w:p w:rsidR="00202AC8" w:rsidRPr="00202AC8" w:rsidRDefault="00202AC8" w:rsidP="00755A3A">
      <w:pPr>
        <w:spacing w:after="0" w:line="360" w:lineRule="auto"/>
        <w:ind w:left="360"/>
        <w:rPr>
          <w:i/>
          <w:iCs/>
        </w:rPr>
      </w:pPr>
      <w:proofErr w:type="spellStart"/>
      <w:r w:rsidRPr="00202AC8">
        <w:rPr>
          <w:i/>
          <w:iCs/>
        </w:rPr>
        <w:t>Titrimetry</w:t>
      </w:r>
      <w:proofErr w:type="spellEnd"/>
    </w:p>
    <w:p w:rsidR="00202AC8" w:rsidRDefault="00202AC8" w:rsidP="00202AC8">
      <w:pPr>
        <w:spacing w:after="0" w:line="360" w:lineRule="auto"/>
        <w:ind w:left="360"/>
      </w:pPr>
      <w:proofErr w:type="spellStart"/>
      <w:r>
        <w:t>Titrimetry</w:t>
      </w:r>
      <w:proofErr w:type="spellEnd"/>
      <w:r>
        <w:t xml:space="preserve"> is a colorimetric technique, where the formation of a specific quantity of a specific compound </w:t>
      </w:r>
      <w:r w:rsidR="002B0264">
        <w:t xml:space="preserve">through the addition of a </w:t>
      </w:r>
      <w:proofErr w:type="spellStart"/>
      <w:r w:rsidR="002B0264">
        <w:t>titrant</w:t>
      </w:r>
      <w:proofErr w:type="spellEnd"/>
      <w:r w:rsidR="002B0264">
        <w:t xml:space="preserve"> </w:t>
      </w:r>
      <w:r>
        <w:t>causes a detectable change in the color of your sample.</w:t>
      </w:r>
      <w:r w:rsidR="002B0264">
        <w:t xml:space="preserve"> The color changes linearly as the </w:t>
      </w:r>
      <w:proofErr w:type="spellStart"/>
      <w:r w:rsidR="002B0264">
        <w:t>titrant</w:t>
      </w:r>
      <w:proofErr w:type="spellEnd"/>
      <w:r w:rsidR="002B0264">
        <w:t xml:space="preserve"> is added (except near the end point), which allows for quantitative analysis.</w:t>
      </w:r>
    </w:p>
    <w:p w:rsidR="00B93757" w:rsidRDefault="00B93757" w:rsidP="00AF4EB0">
      <w:pPr>
        <w:spacing w:after="0" w:line="360" w:lineRule="auto"/>
        <w:rPr>
          <w:b/>
          <w:bCs/>
        </w:rPr>
      </w:pPr>
    </w:p>
    <w:p w:rsidR="00AF4EB0" w:rsidRPr="00E85D4F" w:rsidRDefault="00B93757" w:rsidP="00AF4EB0">
      <w:p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Spectrophotometric</w:t>
      </w:r>
      <w:proofErr w:type="spellEnd"/>
      <w:r>
        <w:rPr>
          <w:b/>
          <w:bCs/>
        </w:rPr>
        <w:t xml:space="preserve"> methods</w:t>
      </w:r>
    </w:p>
    <w:p w:rsidR="00177676" w:rsidRDefault="00AF4EB0" w:rsidP="00B93757">
      <w:pPr>
        <w:pStyle w:val="ListParagraph"/>
        <w:spacing w:after="0" w:line="360" w:lineRule="auto"/>
        <w:ind w:left="360"/>
      </w:pPr>
      <w:r w:rsidRPr="00177676">
        <w:rPr>
          <w:i/>
          <w:iCs/>
        </w:rPr>
        <w:t>Definition of photometry</w:t>
      </w:r>
      <w:r w:rsidR="00A327BB">
        <w:t xml:space="preserve">: </w:t>
      </w:r>
    </w:p>
    <w:p w:rsidR="00AF4EB0" w:rsidRDefault="00177676" w:rsidP="00B93757">
      <w:pPr>
        <w:pStyle w:val="ListParagraph"/>
        <w:spacing w:after="0" w:line="360" w:lineRule="auto"/>
        <w:ind w:left="360"/>
      </w:pPr>
      <w:proofErr w:type="gramStart"/>
      <w:r>
        <w:t>Measure of the radiant power or relative radiant power of light beams.</w:t>
      </w:r>
      <w:proofErr w:type="gramEnd"/>
    </w:p>
    <w:p w:rsidR="00177676" w:rsidRDefault="00177676" w:rsidP="00B93757">
      <w:pPr>
        <w:pStyle w:val="ListParagraph"/>
        <w:spacing w:after="0" w:line="360" w:lineRule="auto"/>
        <w:ind w:left="360"/>
        <w:rPr>
          <w:i/>
          <w:iCs/>
        </w:rPr>
      </w:pPr>
    </w:p>
    <w:p w:rsidR="00AF4EB0" w:rsidRPr="00177676" w:rsidRDefault="00AF4EB0" w:rsidP="00B93757">
      <w:pPr>
        <w:pStyle w:val="ListParagraph"/>
        <w:spacing w:after="0" w:line="360" w:lineRule="auto"/>
        <w:ind w:left="360"/>
        <w:rPr>
          <w:i/>
          <w:iCs/>
        </w:rPr>
      </w:pPr>
      <w:r w:rsidRPr="00177676">
        <w:rPr>
          <w:i/>
          <w:iCs/>
        </w:rPr>
        <w:t>Components of a spectrophotometer</w:t>
      </w:r>
    </w:p>
    <w:p w:rsidR="00AF4EB0" w:rsidRDefault="00AF4EB0" w:rsidP="00AF4EB0">
      <w:pPr>
        <w:pStyle w:val="ListParagraph"/>
        <w:numPr>
          <w:ilvl w:val="0"/>
          <w:numId w:val="2"/>
        </w:numPr>
        <w:spacing w:after="0" w:line="360" w:lineRule="auto"/>
      </w:pPr>
      <w:r>
        <w:t>Source</w:t>
      </w:r>
      <w:r w:rsidR="00A327BB">
        <w:t xml:space="preserve">: a </w:t>
      </w:r>
      <w:r w:rsidR="00315F62">
        <w:t>tungsten</w:t>
      </w:r>
      <w:r w:rsidR="00A327BB">
        <w:t xml:space="preserve"> filament lamp usually works well</w:t>
      </w:r>
    </w:p>
    <w:p w:rsidR="00AF4EB0" w:rsidRDefault="00AF4EB0" w:rsidP="00AF4EB0">
      <w:pPr>
        <w:pStyle w:val="ListParagraph"/>
        <w:numPr>
          <w:ilvl w:val="0"/>
          <w:numId w:val="2"/>
        </w:numPr>
        <w:spacing w:after="0" w:line="360" w:lineRule="auto"/>
      </w:pPr>
      <w:r>
        <w:t>Monochromator</w:t>
      </w:r>
    </w:p>
    <w:p w:rsidR="00AF4EB0" w:rsidRDefault="00AF4EB0" w:rsidP="00AF4EB0">
      <w:pPr>
        <w:pStyle w:val="ListParagraph"/>
        <w:numPr>
          <w:ilvl w:val="0"/>
          <w:numId w:val="2"/>
        </w:numPr>
        <w:spacing w:after="0" w:line="360" w:lineRule="auto"/>
      </w:pPr>
      <w:r>
        <w:t>Absorption cell compartment</w:t>
      </w:r>
    </w:p>
    <w:p w:rsidR="00AF4EB0" w:rsidRDefault="00AF4EB0" w:rsidP="00AF4EB0">
      <w:pPr>
        <w:pStyle w:val="ListParagraph"/>
        <w:numPr>
          <w:ilvl w:val="0"/>
          <w:numId w:val="2"/>
        </w:numPr>
        <w:spacing w:after="0" w:line="360" w:lineRule="auto"/>
      </w:pPr>
      <w:r>
        <w:t>Detector: photovoltaic cell/ photomultiplier</w:t>
      </w:r>
    </w:p>
    <w:p w:rsidR="00AF4EB0" w:rsidRDefault="00AF4EB0" w:rsidP="00AF4EB0">
      <w:pPr>
        <w:pStyle w:val="ListParagraph"/>
        <w:numPr>
          <w:ilvl w:val="0"/>
          <w:numId w:val="2"/>
        </w:numPr>
        <w:spacing w:after="0" w:line="360" w:lineRule="auto"/>
      </w:pPr>
      <w:r>
        <w:t>Readout device</w:t>
      </w:r>
    </w:p>
    <w:p w:rsidR="00177676" w:rsidRDefault="00177676" w:rsidP="00B93757">
      <w:pPr>
        <w:spacing w:after="0" w:line="360" w:lineRule="auto"/>
        <w:ind w:left="360"/>
        <w:rPr>
          <w:i/>
          <w:iCs/>
        </w:rPr>
      </w:pPr>
    </w:p>
    <w:p w:rsidR="00177676" w:rsidRPr="00177676" w:rsidRDefault="00177676" w:rsidP="00B93757">
      <w:pPr>
        <w:spacing w:after="0" w:line="360" w:lineRule="auto"/>
        <w:ind w:left="360"/>
      </w:pPr>
      <w:r>
        <w:rPr>
          <w:i/>
          <w:iCs/>
        </w:rPr>
        <w:t>Main uses:</w:t>
      </w:r>
    </w:p>
    <w:p w:rsidR="00177676" w:rsidRPr="00177676" w:rsidRDefault="00177676" w:rsidP="00177676">
      <w:pPr>
        <w:spacing w:after="0" w:line="360" w:lineRule="auto"/>
        <w:ind w:left="360"/>
      </w:pPr>
      <w:r>
        <w:t>Spectrophotometry is the technique of choice for the analysis of several non-metals and anionic groups</w:t>
      </w:r>
      <w:r w:rsidR="009C3E7E">
        <w:t xml:space="preserve"> (Table 2)</w:t>
      </w:r>
      <w:r>
        <w:t xml:space="preserve">. It is also suitable for the analysis of ~ </w:t>
      </w:r>
      <w:r w:rsidR="00D776FB">
        <w:t>22 metals, especially when in trace amounts</w:t>
      </w:r>
      <w:r w:rsidR="009C3E7E">
        <w:t xml:space="preserve"> (e.g. Table 3). Keep in mind that spectrophotometry is a very affordable technique.</w:t>
      </w:r>
    </w:p>
    <w:p w:rsidR="009C3E7E" w:rsidRDefault="009C3E7E" w:rsidP="00B93757">
      <w:pPr>
        <w:spacing w:after="0" w:line="360" w:lineRule="auto"/>
        <w:ind w:left="360"/>
        <w:rPr>
          <w:i/>
          <w:iCs/>
        </w:rPr>
      </w:pPr>
    </w:p>
    <w:p w:rsidR="00AF4EB0" w:rsidRDefault="00AF4EB0" w:rsidP="00B93757">
      <w:pPr>
        <w:spacing w:after="0" w:line="360" w:lineRule="auto"/>
        <w:ind w:left="360"/>
        <w:rPr>
          <w:i/>
          <w:iCs/>
        </w:rPr>
      </w:pPr>
      <w:r w:rsidRPr="00177676">
        <w:rPr>
          <w:i/>
          <w:iCs/>
        </w:rPr>
        <w:t>Single vs. double beam instruments</w:t>
      </w:r>
    </w:p>
    <w:p w:rsidR="00D15D1A" w:rsidRPr="00F979FC" w:rsidRDefault="00E438B8" w:rsidP="0024589B">
      <w:pPr>
        <w:spacing w:after="0" w:line="360" w:lineRule="auto"/>
        <w:ind w:left="360"/>
      </w:pPr>
      <w:r w:rsidRPr="00F979FC">
        <w:t xml:space="preserve">Single beam instruments have one optical path from the slit to the sample cell, whereas double beam instruments have two optical paths, one passing through the sample, the other through a blank or a standard cell simultaneously. Double beam </w:t>
      </w:r>
      <w:r w:rsidR="00F979FC" w:rsidRPr="00F979FC">
        <w:t>instruments therefore have the advantage of compensating for any beam or lamp fluctuations</w:t>
      </w:r>
      <w:r w:rsidR="00F979FC">
        <w:t xml:space="preserve">, because beams passing through the sample and standard are </w:t>
      </w:r>
      <w:r w:rsidR="004445EF">
        <w:t>simultaneously subjected to the same variations.</w:t>
      </w:r>
    </w:p>
    <w:p w:rsidR="00E438B8" w:rsidRDefault="00E438B8" w:rsidP="00B93757">
      <w:pPr>
        <w:spacing w:after="0" w:line="360" w:lineRule="auto"/>
        <w:ind w:left="360"/>
        <w:rPr>
          <w:i/>
          <w:iCs/>
        </w:rPr>
      </w:pPr>
    </w:p>
    <w:p w:rsidR="00CA1CD9" w:rsidRPr="009C3E7E" w:rsidRDefault="00CA1CD9" w:rsidP="00B93757">
      <w:pPr>
        <w:spacing w:after="0" w:line="360" w:lineRule="auto"/>
        <w:ind w:left="360"/>
        <w:rPr>
          <w:i/>
          <w:iCs/>
        </w:rPr>
      </w:pPr>
      <w:r w:rsidRPr="009C3E7E">
        <w:rPr>
          <w:i/>
          <w:iCs/>
        </w:rPr>
        <w:t>Optimum concentration ranges and sensitivity</w:t>
      </w:r>
    </w:p>
    <w:p w:rsidR="00D15D1A" w:rsidRPr="00D15D1A" w:rsidRDefault="00D15D1A" w:rsidP="00D15D1A">
      <w:pPr>
        <w:spacing w:after="0" w:line="360" w:lineRule="auto"/>
        <w:ind w:left="360"/>
      </w:pPr>
      <w:r>
        <w:t>The optimum concentration range is determined graphically using a “</w:t>
      </w:r>
      <w:proofErr w:type="spellStart"/>
      <w:r>
        <w:t>Ringbom</w:t>
      </w:r>
      <w:proofErr w:type="spellEnd"/>
      <w:r>
        <w:t xml:space="preserve"> plot” in which log concentration is plotted against transmittance (Fig. 1), and where the linear portion of this plot is considered to be the optimum concentration range. </w:t>
      </w:r>
      <w:r>
        <w:lastRenderedPageBreak/>
        <w:t xml:space="preserve">Generally, the absorbance sensitivity of spectrophotometers is </w:t>
      </w:r>
      <w:r w:rsidR="0024589B">
        <w:t>~ 0.001 abs, but this sensitivity varies with wavelength. This sensitivity corresponds to a lower concentration limit of 10</w:t>
      </w:r>
      <w:r w:rsidR="0024589B" w:rsidRPr="00315F62">
        <w:rPr>
          <w:vertAlign w:val="superscript"/>
        </w:rPr>
        <w:t>-8</w:t>
      </w:r>
      <w:r w:rsidR="0024589B">
        <w:t xml:space="preserve"> moles/ </w:t>
      </w:r>
      <w:r w:rsidR="0024589B" w:rsidRPr="00315F62">
        <w:rPr>
          <w:rFonts w:ascii="Brush Script Std" w:hAnsi="Brush Script Std"/>
        </w:rPr>
        <w:t>l</w:t>
      </w:r>
      <w:r w:rsidR="0024589B">
        <w:t>. The maximum concentration is ~ 0.01 moles/</w:t>
      </w:r>
      <w:r w:rsidR="0024589B" w:rsidRPr="00315F62">
        <w:rPr>
          <w:rFonts w:ascii="Brush Script Std" w:hAnsi="Brush Script Std" w:cs="Times New Roman"/>
        </w:rPr>
        <w:t>l</w:t>
      </w:r>
      <w:r w:rsidR="0024589B">
        <w:t>, beyond which spectrophotometry is not useful.</w:t>
      </w:r>
    </w:p>
    <w:p w:rsidR="009C3E7E" w:rsidRDefault="009C3E7E" w:rsidP="00B93757">
      <w:pPr>
        <w:spacing w:after="0" w:line="360" w:lineRule="auto"/>
        <w:ind w:left="360"/>
      </w:pPr>
    </w:p>
    <w:p w:rsidR="00AF4EB0" w:rsidRPr="009C3E7E" w:rsidRDefault="00AF4EB0" w:rsidP="00B93757">
      <w:pPr>
        <w:spacing w:after="0" w:line="360" w:lineRule="auto"/>
        <w:ind w:left="360"/>
        <w:rPr>
          <w:i/>
          <w:iCs/>
        </w:rPr>
      </w:pPr>
      <w:r w:rsidRPr="009C3E7E">
        <w:rPr>
          <w:i/>
          <w:iCs/>
        </w:rPr>
        <w:t>Sources of error:</w:t>
      </w:r>
    </w:p>
    <w:p w:rsidR="00AF4EB0" w:rsidRDefault="00AF4EB0" w:rsidP="00AF4EB0">
      <w:pPr>
        <w:pStyle w:val="ListParagraph"/>
        <w:numPr>
          <w:ilvl w:val="0"/>
          <w:numId w:val="3"/>
        </w:numPr>
        <w:spacing w:after="0" w:line="360" w:lineRule="auto"/>
        <w:ind w:left="1800" w:hanging="360"/>
      </w:pPr>
      <w:r>
        <w:t>Instrument –related</w:t>
      </w:r>
    </w:p>
    <w:p w:rsidR="00AF4EB0" w:rsidRDefault="00AF4EB0" w:rsidP="00B94B61">
      <w:pPr>
        <w:pStyle w:val="ListParagraph"/>
        <w:numPr>
          <w:ilvl w:val="0"/>
          <w:numId w:val="4"/>
        </w:numPr>
        <w:spacing w:after="0" w:line="360" w:lineRule="auto"/>
      </w:pPr>
      <w:r>
        <w:t>Slit width</w:t>
      </w:r>
      <w:r w:rsidR="00B94B61">
        <w:t xml:space="preserve"> is larger than the natural band width of the absorbance maximum: </w:t>
      </w:r>
      <w:r w:rsidR="00B94B61" w:rsidRPr="00B94B61">
        <w:rPr>
          <w:i/>
          <w:iCs/>
        </w:rPr>
        <w:t>Correction</w:t>
      </w:r>
      <w:r w:rsidR="00B94B61">
        <w:t>: Use narrow slit width settings.</w:t>
      </w:r>
    </w:p>
    <w:p w:rsidR="00AF4EB0" w:rsidRDefault="0063572A" w:rsidP="004445EF">
      <w:pPr>
        <w:pStyle w:val="ListParagraph"/>
        <w:numPr>
          <w:ilvl w:val="0"/>
          <w:numId w:val="4"/>
        </w:numPr>
        <w:spacing w:after="0" w:line="360" w:lineRule="auto"/>
      </w:pPr>
      <w:r>
        <w:t>Internal r</w:t>
      </w:r>
      <w:r w:rsidR="00AF4EB0">
        <w:t>eflections from surface of cell</w:t>
      </w:r>
      <w:r w:rsidR="004445EF">
        <w:t xml:space="preserve">: </w:t>
      </w:r>
      <w:r>
        <w:t xml:space="preserve">These cause the light to traverse the sample more than once, resulting in higher absorbance. </w:t>
      </w:r>
      <w:r w:rsidR="004445EF" w:rsidRPr="004445EF">
        <w:rPr>
          <w:i/>
          <w:iCs/>
        </w:rPr>
        <w:t>Correction</w:t>
      </w:r>
      <w:r w:rsidR="004445EF">
        <w:t>: use longer path-length cells</w:t>
      </w:r>
      <w:r w:rsidR="00B94B61">
        <w:t xml:space="preserve"> to help minimize this error.</w:t>
      </w:r>
    </w:p>
    <w:p w:rsidR="00AF4EB0" w:rsidRDefault="00AF4EB0" w:rsidP="00AF4EB0">
      <w:pPr>
        <w:pStyle w:val="ListParagraph"/>
        <w:numPr>
          <w:ilvl w:val="0"/>
          <w:numId w:val="4"/>
        </w:numPr>
        <w:spacing w:after="0" w:line="360" w:lineRule="auto"/>
      </w:pPr>
      <w:r>
        <w:t>Stray energy</w:t>
      </w:r>
      <w:r w:rsidR="00B94B61">
        <w:t xml:space="preserve">: </w:t>
      </w:r>
      <w:r w:rsidR="00B94B61" w:rsidRPr="00B94B61">
        <w:rPr>
          <w:i/>
          <w:iCs/>
        </w:rPr>
        <w:t>Correction</w:t>
      </w:r>
      <w:r w:rsidR="00B94B61">
        <w:t>: Use a double monochromator system.</w:t>
      </w:r>
    </w:p>
    <w:p w:rsidR="00AF4EB0" w:rsidRDefault="00AF4EB0" w:rsidP="00AF4EB0">
      <w:pPr>
        <w:pStyle w:val="ListParagraph"/>
        <w:numPr>
          <w:ilvl w:val="0"/>
          <w:numId w:val="4"/>
        </w:numPr>
        <w:spacing w:after="0" w:line="360" w:lineRule="auto"/>
      </w:pPr>
      <w:r>
        <w:t>Improper calibration</w:t>
      </w:r>
      <w:r w:rsidR="00B94B61">
        <w:t xml:space="preserve">: </w:t>
      </w:r>
      <w:r w:rsidR="00B94B61" w:rsidRPr="00B94B61">
        <w:rPr>
          <w:i/>
          <w:iCs/>
        </w:rPr>
        <w:t>Correction</w:t>
      </w:r>
      <w:r w:rsidR="00B94B61">
        <w:t>: calibrate at an appropriate wavelength.</w:t>
      </w:r>
    </w:p>
    <w:p w:rsidR="00AF4EB0" w:rsidRDefault="00AF4EB0" w:rsidP="00AF4EB0">
      <w:pPr>
        <w:pStyle w:val="ListParagraph"/>
        <w:numPr>
          <w:ilvl w:val="0"/>
          <w:numId w:val="3"/>
        </w:numPr>
        <w:spacing w:after="0" w:line="360" w:lineRule="auto"/>
        <w:ind w:left="1800" w:hanging="360"/>
      </w:pPr>
      <w:r>
        <w:t>Sample – related</w:t>
      </w:r>
    </w:p>
    <w:p w:rsidR="00AF4EB0" w:rsidRDefault="00CA1CD9" w:rsidP="00B94B61">
      <w:pPr>
        <w:pStyle w:val="ListParagraph"/>
        <w:numPr>
          <w:ilvl w:val="0"/>
          <w:numId w:val="6"/>
        </w:numPr>
        <w:spacing w:after="0" w:line="360" w:lineRule="auto"/>
      </w:pPr>
      <w:r>
        <w:t>Interference from elements or compounds</w:t>
      </w:r>
    </w:p>
    <w:p w:rsidR="00CA1CD9" w:rsidRDefault="00CA1CD9" w:rsidP="00AF4EB0">
      <w:pPr>
        <w:pStyle w:val="ListParagraph"/>
        <w:numPr>
          <w:ilvl w:val="0"/>
          <w:numId w:val="6"/>
        </w:numPr>
        <w:spacing w:after="0" w:line="360" w:lineRule="auto"/>
      </w:pPr>
      <w:r>
        <w:t>Chemical reactions resulting</w:t>
      </w:r>
      <w:r w:rsidR="00DA45D2">
        <w:t xml:space="preserve"> from the presence of an interfering ion, which in turn result</w:t>
      </w:r>
      <w:r>
        <w:t xml:space="preserve"> in the formation of absorbing compounds</w:t>
      </w:r>
      <w:r w:rsidR="00B94B61">
        <w:t>: Use a complexing agent</w:t>
      </w:r>
      <w:r w:rsidR="00DA45D2">
        <w:t xml:space="preserve"> (masking agent) to suppress this reaction;</w:t>
      </w:r>
      <w:r w:rsidR="00B94B61">
        <w:t xml:space="preserve"> </w:t>
      </w:r>
      <w:r w:rsidR="00DA45D2">
        <w:t>example:</w:t>
      </w:r>
      <w:r w:rsidR="00B94B61">
        <w:t xml:space="preserve"> EDTA when determining phosphates.</w:t>
      </w:r>
    </w:p>
    <w:p w:rsidR="00CA1CD9" w:rsidRDefault="00CA1CD9" w:rsidP="00AF4EB0">
      <w:pPr>
        <w:pStyle w:val="ListParagraph"/>
        <w:numPr>
          <w:ilvl w:val="0"/>
          <w:numId w:val="6"/>
        </w:numPr>
        <w:spacing w:after="0" w:line="360" w:lineRule="auto"/>
      </w:pPr>
      <w:r>
        <w:t>Suspended particles</w:t>
      </w:r>
      <w:r w:rsidR="00B94B61">
        <w:t>: filter sample beforehand if necessary.</w:t>
      </w:r>
    </w:p>
    <w:p w:rsidR="00CA1CD9" w:rsidRDefault="00CA1CD9" w:rsidP="00AF4EB0">
      <w:pPr>
        <w:pStyle w:val="ListParagraph"/>
        <w:numPr>
          <w:ilvl w:val="0"/>
          <w:numId w:val="6"/>
        </w:numPr>
        <w:spacing w:after="0" w:line="360" w:lineRule="auto"/>
      </w:pPr>
      <w:r>
        <w:t>Temperature</w:t>
      </w:r>
      <w:r w:rsidR="00DA45D2">
        <w:t>: work at optimum T.</w:t>
      </w:r>
    </w:p>
    <w:p w:rsidR="00CA1CD9" w:rsidRDefault="00CA1CD9" w:rsidP="00AF4EB0">
      <w:pPr>
        <w:pStyle w:val="ListParagraph"/>
        <w:numPr>
          <w:ilvl w:val="0"/>
          <w:numId w:val="6"/>
        </w:numPr>
        <w:spacing w:after="0" w:line="360" w:lineRule="auto"/>
      </w:pPr>
      <w:r>
        <w:t>pH</w:t>
      </w:r>
      <w:r w:rsidR="00DA45D2">
        <w:t>: work at optimum pH.</w:t>
      </w:r>
    </w:p>
    <w:p w:rsidR="00CA1CD9" w:rsidRDefault="00CA1CD9" w:rsidP="00AF4EB0">
      <w:pPr>
        <w:pStyle w:val="ListParagraph"/>
        <w:numPr>
          <w:ilvl w:val="0"/>
          <w:numId w:val="6"/>
        </w:numPr>
        <w:spacing w:after="0" w:line="360" w:lineRule="auto"/>
      </w:pPr>
      <w:r>
        <w:t>Color stability</w:t>
      </w:r>
      <w:r w:rsidR="00B94B61">
        <w:t>: this should be well known prior to any measurements.</w:t>
      </w:r>
    </w:p>
    <w:sectPr w:rsidR="00CA1CD9" w:rsidSect="00DE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DF"/>
    <w:multiLevelType w:val="hybridMultilevel"/>
    <w:tmpl w:val="0BE49256"/>
    <w:lvl w:ilvl="0" w:tplc="1B88857A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3D5BF8"/>
    <w:multiLevelType w:val="hybridMultilevel"/>
    <w:tmpl w:val="B3B6F1E0"/>
    <w:lvl w:ilvl="0" w:tplc="3E94FD5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0134F6"/>
    <w:multiLevelType w:val="hybridMultilevel"/>
    <w:tmpl w:val="80D87234"/>
    <w:lvl w:ilvl="0" w:tplc="6C36B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7596"/>
    <w:multiLevelType w:val="hybridMultilevel"/>
    <w:tmpl w:val="59E66510"/>
    <w:lvl w:ilvl="0" w:tplc="A20AD3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2570"/>
    <w:multiLevelType w:val="hybridMultilevel"/>
    <w:tmpl w:val="ACB667A4"/>
    <w:lvl w:ilvl="0" w:tplc="BBF6440A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6599E"/>
    <w:multiLevelType w:val="hybridMultilevel"/>
    <w:tmpl w:val="39F250E4"/>
    <w:lvl w:ilvl="0" w:tplc="52D4E9DC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EB0"/>
    <w:rsid w:val="000309F2"/>
    <w:rsid w:val="00054E67"/>
    <w:rsid w:val="00177676"/>
    <w:rsid w:val="00197E50"/>
    <w:rsid w:val="00202AC8"/>
    <w:rsid w:val="0024589B"/>
    <w:rsid w:val="002B0264"/>
    <w:rsid w:val="00315F62"/>
    <w:rsid w:val="003D07FD"/>
    <w:rsid w:val="003F78E2"/>
    <w:rsid w:val="004445EF"/>
    <w:rsid w:val="00456D1A"/>
    <w:rsid w:val="0063572A"/>
    <w:rsid w:val="00755A3A"/>
    <w:rsid w:val="00776B3D"/>
    <w:rsid w:val="009C3E7E"/>
    <w:rsid w:val="00A2298E"/>
    <w:rsid w:val="00A327BB"/>
    <w:rsid w:val="00AF4EB0"/>
    <w:rsid w:val="00B93757"/>
    <w:rsid w:val="00B94B61"/>
    <w:rsid w:val="00CA1CD9"/>
    <w:rsid w:val="00D15D1A"/>
    <w:rsid w:val="00D536FB"/>
    <w:rsid w:val="00D776FB"/>
    <w:rsid w:val="00DA45D2"/>
    <w:rsid w:val="00DE7082"/>
    <w:rsid w:val="00E438B8"/>
    <w:rsid w:val="00E85D4F"/>
    <w:rsid w:val="00F57722"/>
    <w:rsid w:val="00F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position w:val="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elshazly</dc:creator>
  <cp:keywords/>
  <dc:description/>
  <cp:lastModifiedBy>elshazly</cp:lastModifiedBy>
  <cp:revision>8</cp:revision>
  <dcterms:created xsi:type="dcterms:W3CDTF">2009-03-02T16:39:00Z</dcterms:created>
  <dcterms:modified xsi:type="dcterms:W3CDTF">2010-10-12T17:25:00Z</dcterms:modified>
</cp:coreProperties>
</file>